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254916e86674f5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4" w:rsidRDefault="008E36EB" w:rsidP="00FE16B5">
      <w:pPr>
        <w:spacing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-409575</wp:posOffset>
                </wp:positionV>
                <wp:extent cx="1676400" cy="1457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EB" w:rsidRDefault="008E36EB">
                            <w:r>
                              <w:rPr>
                                <w:rFonts w:ascii="Arial" w:eastAsiaTheme="minorHAnsi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9375D" wp14:editId="67CDA959">
                                  <wp:extent cx="1581150" cy="1333499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JPEG (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450" cy="133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9.75pt;margin-top:-32.25pt;width:13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" fillcolor="white [3201]" strokeweight=".5pt">
                <v:textbox>
                  <w:txbxContent>
                    <w:p w:rsidR="008E36EB" w:rsidRDefault="008E36EB">
                      <w:r>
                        <w:rPr>
                          <w:rFonts w:ascii="Arial" w:eastAsiaTheme="minorHAnsi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9375D" wp14:editId="67CDA959">
                            <wp:extent cx="1581150" cy="1333499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JPEG (2)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450" cy="133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420">
        <w:rPr>
          <w:rFonts w:ascii="Arial" w:hAnsi="Arial" w:cs="Arial"/>
          <w:b/>
        </w:rPr>
        <w:t xml:space="preserve">Appendix 1: </w:t>
      </w:r>
      <w:r w:rsidR="00FD29BF">
        <w:rPr>
          <w:rFonts w:ascii="Arial" w:hAnsi="Arial" w:cs="Arial"/>
          <w:b/>
        </w:rPr>
        <w:t xml:space="preserve">Oxford City Council </w:t>
      </w:r>
      <w:r w:rsidR="00EF1AC6">
        <w:rPr>
          <w:rFonts w:ascii="Arial" w:hAnsi="Arial" w:cs="Arial"/>
          <w:b/>
        </w:rPr>
        <w:t xml:space="preserve">Safeguarding </w:t>
      </w:r>
      <w:r w:rsidR="00D002D4">
        <w:rPr>
          <w:rFonts w:ascii="Arial" w:hAnsi="Arial" w:cs="Arial"/>
          <w:b/>
        </w:rPr>
        <w:t>Action</w:t>
      </w:r>
      <w:r w:rsidR="00EF1AC6">
        <w:rPr>
          <w:rFonts w:ascii="Arial" w:hAnsi="Arial" w:cs="Arial"/>
          <w:b/>
        </w:rPr>
        <w:t xml:space="preserve"> Plan June 2017-June 2018</w:t>
      </w:r>
    </w:p>
    <w:p w:rsidR="00FD29BF" w:rsidRDefault="00FD29BF" w:rsidP="00FD29BF">
      <w:pPr>
        <w:rPr>
          <w:rFonts w:ascii="Arial" w:hAnsi="Arial" w:cs="Arial"/>
          <w:b/>
        </w:rPr>
      </w:pPr>
    </w:p>
    <w:p w:rsidR="00EF1AC6" w:rsidRDefault="00EF1AC6" w:rsidP="00EF1AC6">
      <w:pPr>
        <w:pStyle w:val="ListParagraph"/>
        <w:rPr>
          <w:rFonts w:ascii="Arial" w:hAnsi="Arial" w:cs="Arial"/>
          <w:b/>
        </w:rPr>
      </w:pPr>
      <w:r w:rsidRPr="00D15E27">
        <w:rPr>
          <w:rFonts w:ascii="Arial" w:hAnsi="Arial" w:cs="Arial"/>
          <w:b/>
        </w:rPr>
        <w:t>Key Influences</w:t>
      </w:r>
      <w:r w:rsidR="000D397E" w:rsidRPr="00D15E27">
        <w:rPr>
          <w:rFonts w:ascii="Arial" w:hAnsi="Arial" w:cs="Arial"/>
          <w:b/>
        </w:rPr>
        <w:t>/inputs</w:t>
      </w:r>
    </w:p>
    <w:p w:rsidR="00AC0516" w:rsidRPr="00D10665" w:rsidRDefault="00D10665" w:rsidP="00D1066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0665">
        <w:rPr>
          <w:rFonts w:ascii="Arial" w:hAnsi="Arial" w:cs="Arial"/>
        </w:rPr>
        <w:t>Corporate</w:t>
      </w:r>
      <w:r w:rsidR="00AC0516" w:rsidRPr="00D10665">
        <w:rPr>
          <w:rFonts w:ascii="Arial" w:hAnsi="Arial" w:cs="Arial"/>
        </w:rPr>
        <w:t xml:space="preserve"> Plan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The Section 11 Self-Assessment Audit</w:t>
      </w:r>
    </w:p>
    <w:p w:rsidR="00EF1AC6" w:rsidRDefault="00EF1AC6" w:rsidP="00E865B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Woods Review</w:t>
      </w:r>
    </w:p>
    <w:p w:rsidR="00E865BA" w:rsidRDefault="00EF1AC6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OFSTED</w:t>
      </w:r>
      <w:r w:rsidR="00E865BA">
        <w:rPr>
          <w:rFonts w:ascii="Arial" w:hAnsi="Arial" w:cs="Arial"/>
        </w:rPr>
        <w:t xml:space="preserve"> Report Oxfordshire County Council</w:t>
      </w:r>
    </w:p>
    <w:p w:rsidR="00D10665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0665">
        <w:rPr>
          <w:rFonts w:ascii="Arial" w:hAnsi="Arial" w:cs="Arial"/>
        </w:rPr>
        <w:t xml:space="preserve">Youth Ambition Audit </w:t>
      </w:r>
    </w:p>
    <w:p w:rsidR="00E865BA" w:rsidRPr="00D10665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0665">
        <w:rPr>
          <w:rFonts w:ascii="Arial" w:hAnsi="Arial" w:cs="Arial"/>
        </w:rPr>
        <w:t>O</w:t>
      </w:r>
      <w:r w:rsidR="00D10665">
        <w:rPr>
          <w:rFonts w:ascii="Arial" w:hAnsi="Arial" w:cs="Arial"/>
        </w:rPr>
        <w:t xml:space="preserve">xfordshire Safeguarding Children’s Board (OSCB) </w:t>
      </w:r>
      <w:r w:rsidR="00AC0516" w:rsidRPr="00D10665">
        <w:rPr>
          <w:rFonts w:ascii="Arial" w:hAnsi="Arial" w:cs="Arial"/>
        </w:rPr>
        <w:t>Business Plan</w:t>
      </w:r>
    </w:p>
    <w:p w:rsidR="00E865BA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10665">
        <w:rPr>
          <w:rFonts w:ascii="Arial" w:hAnsi="Arial" w:cs="Arial"/>
        </w:rPr>
        <w:t xml:space="preserve">xfordshire Safeguarding Adults (OSAB) </w:t>
      </w:r>
      <w:r w:rsidR="00AC0516">
        <w:rPr>
          <w:rFonts w:ascii="Arial" w:hAnsi="Arial" w:cs="Arial"/>
        </w:rPr>
        <w:t>Business Plan</w:t>
      </w:r>
    </w:p>
    <w:p w:rsidR="00D10665" w:rsidRDefault="00D10665" w:rsidP="00D1066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City Council C</w:t>
      </w:r>
      <w:r w:rsidR="00E865BA">
        <w:rPr>
          <w:rFonts w:ascii="Arial" w:hAnsi="Arial" w:cs="Arial"/>
        </w:rPr>
        <w:t xml:space="preserve">hildren and Young Peoples </w:t>
      </w:r>
      <w:r>
        <w:rPr>
          <w:rFonts w:ascii="Arial" w:hAnsi="Arial" w:cs="Arial"/>
        </w:rPr>
        <w:t>P</w:t>
      </w:r>
      <w:r w:rsidR="00E865BA">
        <w:rPr>
          <w:rFonts w:ascii="Arial" w:hAnsi="Arial" w:cs="Arial"/>
        </w:rPr>
        <w:t>lan</w:t>
      </w:r>
      <w:r w:rsidR="00EF1AC6">
        <w:rPr>
          <w:rFonts w:ascii="Arial" w:hAnsi="Arial" w:cs="Arial"/>
        </w:rPr>
        <w:t xml:space="preserve"> </w:t>
      </w:r>
      <w:bookmarkStart w:id="0" w:name="_GoBack"/>
      <w:bookmarkEnd w:id="0"/>
    </w:p>
    <w:p w:rsidR="00D10665" w:rsidRDefault="00D10665" w:rsidP="00D10665">
      <w:pPr>
        <w:rPr>
          <w:rFonts w:ascii="Arial" w:hAnsi="Arial" w:cs="Arial"/>
        </w:rPr>
      </w:pPr>
    </w:p>
    <w:p w:rsidR="00D10665" w:rsidRDefault="00D10665" w:rsidP="00D10665">
      <w:pPr>
        <w:rPr>
          <w:rFonts w:ascii="Arial" w:hAnsi="Arial" w:cs="Arial"/>
        </w:rPr>
      </w:pPr>
    </w:p>
    <w:p w:rsidR="00D10665" w:rsidRDefault="00D10665" w:rsidP="00D10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 the Section 11 Self- Assessment Audit was a joint audit between the OSCB and OSAB. It was also more </w:t>
      </w:r>
      <w:r w:rsidR="001E603F">
        <w:rPr>
          <w:rFonts w:ascii="Arial" w:hAnsi="Arial" w:cs="Arial"/>
        </w:rPr>
        <w:t>thorough</w:t>
      </w:r>
      <w:r>
        <w:rPr>
          <w:rFonts w:ascii="Arial" w:hAnsi="Arial" w:cs="Arial"/>
        </w:rPr>
        <w:t xml:space="preserve"> than it has been previously.</w:t>
      </w:r>
    </w:p>
    <w:p w:rsidR="00D10665" w:rsidRDefault="00D10665" w:rsidP="00D10665">
      <w:pPr>
        <w:rPr>
          <w:rFonts w:ascii="Arial" w:hAnsi="Arial" w:cs="Arial"/>
        </w:rPr>
      </w:pPr>
    </w:p>
    <w:p w:rsidR="00D10665" w:rsidRDefault="00D10665" w:rsidP="00D10665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304FE">
        <w:rPr>
          <w:rFonts w:ascii="Arial" w:hAnsi="Arial" w:cs="Arial"/>
        </w:rPr>
        <w:t>e Action</w:t>
      </w:r>
      <w:r>
        <w:rPr>
          <w:rFonts w:ascii="Arial" w:hAnsi="Arial" w:cs="Arial"/>
        </w:rPr>
        <w:t xml:space="preserve"> Plan Framework is based on the Section 11 Standards and it is aimed at moving the Council from a ‘green’ rated standard to a ‘blue’ rated standard (from good to best practice).</w:t>
      </w:r>
    </w:p>
    <w:p w:rsidR="00D10665" w:rsidRPr="00D10665" w:rsidRDefault="00D10665" w:rsidP="00D10665">
      <w:pPr>
        <w:rPr>
          <w:rFonts w:ascii="Arial" w:hAnsi="Arial" w:cs="Arial"/>
        </w:rPr>
      </w:pPr>
    </w:p>
    <w:p w:rsidR="00FD29BF" w:rsidRDefault="00FD29BF" w:rsidP="00FD29BF">
      <w:pPr>
        <w:pStyle w:val="ListParagraph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693"/>
        <w:gridCol w:w="2127"/>
        <w:gridCol w:w="1701"/>
        <w:gridCol w:w="708"/>
        <w:gridCol w:w="1276"/>
      </w:tblGrid>
      <w:tr w:rsidR="00EA545B" w:rsidTr="003304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EF1A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>
              <w:rPr>
                <w:rFonts w:ascii="Arial" w:eastAsiaTheme="minorHAnsi" w:hAnsi="Arial" w:cs="Arial"/>
                <w:sz w:val="20"/>
                <w:szCs w:val="20"/>
              </w:rPr>
              <w:t>Area identified for Improvement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68201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Measure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Impact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545B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Completion date</w:t>
            </w:r>
          </w:p>
        </w:tc>
      </w:tr>
      <w:tr w:rsidR="00591220" w:rsidRPr="00591220" w:rsidTr="003304FE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B94B84" w:rsidRDefault="00EA545B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Leadership,</w:t>
            </w:r>
          </w:p>
          <w:p w:rsidR="00EA545B" w:rsidRPr="00B94B84" w:rsidRDefault="00EA545B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Strategy and working together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AC0516" w:rsidP="00D92859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591220">
              <w:rPr>
                <w:rFonts w:ascii="Arial" w:eastAsiaTheme="minorHAnsi" w:hAnsi="Arial" w:cs="Arial"/>
                <w:b/>
                <w:u w:val="single"/>
              </w:rPr>
              <w:t>Policy and Procedure</w:t>
            </w:r>
          </w:p>
          <w:p w:rsidR="00AC0516" w:rsidRPr="00591220" w:rsidRDefault="00AC0516" w:rsidP="00D92859">
            <w:pPr>
              <w:rPr>
                <w:rFonts w:ascii="Arial" w:eastAsiaTheme="minorHAnsi" w:hAnsi="Arial" w:cs="Arial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Review positions/responsibilities in relation to attendance to identified safeguarding meetings.</w:t>
            </w: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633" w:rsidRPr="00591220" w:rsidRDefault="00E66633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357E8" w:rsidRPr="00591220" w:rsidRDefault="00EA545B" w:rsidP="00E357E8">
            <w:r w:rsidRPr="00591220">
              <w:rPr>
                <w:rFonts w:ascii="Arial" w:eastAsiaTheme="minorHAnsi" w:hAnsi="Arial" w:cs="Arial"/>
                <w:sz w:val="20"/>
                <w:szCs w:val="20"/>
              </w:rPr>
              <w:t>Complete a review of Oxford City Council Safeguarding Policy. Integrate the key external service changes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61207" w:rsidRDefault="002612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Implement a central recording system for safeguarding concerns (SharePoint)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Provide training to staff on the new reporting system</w:t>
            </w: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Integrate the agreed safeguarding champion structure</w:t>
            </w: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Develop in partnership with OSCB safeguarding templates for community organisations</w:t>
            </w: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u w:val="single"/>
              </w:rPr>
              <w:t>Align department safeguarding policy and procedure with central</w:t>
            </w:r>
            <w:r w:rsidRPr="00591220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 xml:space="preserve"> functions. Ensure input from relevant departments</w:t>
            </w:r>
            <w:r w:rsidRPr="00591220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Integrate safeguarding into the work of the </w:t>
            </w:r>
            <w:r w:rsidR="003304FE">
              <w:rPr>
                <w:rFonts w:ascii="Arial" w:eastAsiaTheme="minorHAnsi" w:hAnsi="Arial" w:cs="Arial"/>
                <w:sz w:val="20"/>
                <w:szCs w:val="20"/>
              </w:rPr>
              <w:t xml:space="preserve"> Sustainable City Board</w:t>
            </w:r>
          </w:p>
          <w:p w:rsidR="00FB1E14" w:rsidRPr="00591220" w:rsidRDefault="00FB1E14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591220">
              <w:rPr>
                <w:rFonts w:ascii="Arial" w:eastAsiaTheme="minorHAnsi" w:hAnsi="Arial" w:cs="Arial"/>
                <w:b/>
                <w:u w:val="single"/>
              </w:rPr>
              <w:t>Communications</w:t>
            </w: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De</w:t>
            </w:r>
            <w:r w:rsidR="003304FE">
              <w:rPr>
                <w:rFonts w:ascii="Arial" w:eastAsiaTheme="minorHAnsi" w:hAnsi="Arial" w:cs="Arial"/>
                <w:sz w:val="20"/>
                <w:szCs w:val="20"/>
              </w:rPr>
              <w:t>velop</w:t>
            </w: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 a safeguarding communication strategy that delivers relevant key messages throughout the year</w:t>
            </w: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Develop and design in collaboration with young people a safeguarding </w:t>
            </w:r>
            <w:r w:rsidR="00006E0B" w:rsidRPr="00591220">
              <w:rPr>
                <w:rFonts w:ascii="Arial" w:eastAsiaTheme="minorHAnsi" w:hAnsi="Arial" w:cs="Arial"/>
                <w:sz w:val="20"/>
                <w:szCs w:val="20"/>
              </w:rPr>
              <w:t>i</w:t>
            </w:r>
            <w:r w:rsidR="00006E0B">
              <w:rPr>
                <w:rFonts w:ascii="Arial" w:hAnsi="Arial" w:cs="Arial"/>
              </w:rPr>
              <w:t xml:space="preserve">nformation </w:t>
            </w:r>
            <w:r w:rsidR="00006E0B" w:rsidRPr="00591220">
              <w:rPr>
                <w:rFonts w:ascii="Arial" w:hAnsi="Arial" w:cs="Arial"/>
                <w:sz w:val="20"/>
                <w:szCs w:val="20"/>
              </w:rPr>
              <w:t>inclu</w:t>
            </w:r>
            <w:r w:rsidR="00006E0B">
              <w:rPr>
                <w:rFonts w:ascii="Arial" w:hAnsi="Arial" w:cs="Arial"/>
                <w:sz w:val="20"/>
                <w:szCs w:val="20"/>
              </w:rPr>
              <w:t>sive</w:t>
            </w:r>
            <w:r w:rsidR="00CD4C13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591220">
              <w:rPr>
                <w:rFonts w:ascii="Arial" w:hAnsi="Arial" w:cs="Arial"/>
                <w:sz w:val="20"/>
                <w:szCs w:val="20"/>
              </w:rPr>
              <w:t xml:space="preserve"> information on what safeguarding issues are and how to raise a safeguarding concern</w:t>
            </w: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Develop and design a </w:t>
            </w:r>
            <w:r w:rsidR="00CD4C13">
              <w:rPr>
                <w:rFonts w:ascii="Arial" w:eastAsiaTheme="minorHAnsi" w:hAnsi="Arial" w:cs="Arial"/>
                <w:sz w:val="20"/>
                <w:szCs w:val="20"/>
              </w:rPr>
              <w:t xml:space="preserve">children and young </w:t>
            </w:r>
            <w:r w:rsidR="00006E0B">
              <w:rPr>
                <w:rFonts w:ascii="Arial" w:eastAsiaTheme="minorHAnsi" w:hAnsi="Arial" w:cs="Arial"/>
                <w:sz w:val="20"/>
                <w:szCs w:val="20"/>
              </w:rPr>
              <w:t>person</w:t>
            </w: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 friendly complaint information tool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E66633" w:rsidRPr="00591220" w:rsidRDefault="006F569F" w:rsidP="009261C0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591220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Links to the Community safety partnership</w:t>
            </w:r>
          </w:p>
          <w:p w:rsidR="006F569F" w:rsidRPr="00591220" w:rsidRDefault="006F569F" w:rsidP="00CD04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719B5" w:rsidRDefault="00EA545B" w:rsidP="009261C0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:rsidR="00EA545B" w:rsidRPr="003304FE" w:rsidRDefault="00EA545B" w:rsidP="009261C0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3304FE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Language schools</w:t>
            </w:r>
          </w:p>
          <w:p w:rsidR="00EA545B" w:rsidRPr="00591220" w:rsidRDefault="00CD4C13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current plan and capacity </w:t>
            </w:r>
            <w:r w:rsidR="00006E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commitment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</w:t>
            </w:r>
            <w:r w:rsidR="00006E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language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school work</w:t>
            </w:r>
          </w:p>
          <w:p w:rsidR="005719B5" w:rsidRDefault="005719B5" w:rsidP="009261C0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304FE" w:rsidRDefault="003304FE" w:rsidP="009261C0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EA545B" w:rsidRPr="00591220" w:rsidRDefault="00EA545B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9B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Hotel watch/taxi licensin</w:t>
            </w:r>
            <w:r w:rsid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</w:p>
          <w:p w:rsidR="003304FE" w:rsidRDefault="003304FE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Promote safeguarding of vulnerable adults and children in Hotels, Guesthouses &amp; B’B’s across the city under the OSCB Child Sexual Exploitation Sub-group and national campaign ‘Say Something if you See Something’.  </w:t>
            </w:r>
          </w:p>
          <w:p w:rsidR="005719B5" w:rsidRP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Domestic abuse</w:t>
            </w:r>
          </w:p>
          <w:p w:rsidR="005719B5" w:rsidRP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9261C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AE687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E6872" w:rsidRPr="005719B5" w:rsidRDefault="008F5372" w:rsidP="00AE687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719B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hild</w:t>
            </w:r>
            <w:r w:rsidR="005719B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Sexual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Exploitation</w:t>
            </w:r>
            <w:r w:rsidR="005719B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and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exploitation</w:t>
            </w:r>
          </w:p>
          <w:p w:rsidR="005719B5" w:rsidRDefault="005719B5" w:rsidP="00AE687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AE6872" w:rsidP="00AE687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OSCB CSE (Child Sexual Exploitation &amp; Exploitation) Sub-group and Kingfisher Team in delivering the CSE Action plan aims</w:t>
            </w:r>
          </w:p>
          <w:p w:rsidR="002C2612" w:rsidRDefault="002C2612" w:rsidP="005719B5">
            <w:pPr>
              <w:pStyle w:val="ListParagraph"/>
              <w:ind w:left="792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5719B5">
            <w:pPr>
              <w:pStyle w:val="ListParagraph"/>
              <w:ind w:left="792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5719B5">
            <w:pPr>
              <w:pStyle w:val="ListParagraph"/>
              <w:ind w:left="792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Pr="005719B5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5719B5">
              <w:rPr>
                <w:rFonts w:ascii="Arial" w:eastAsiaTheme="minorHAnsi" w:hAnsi="Arial" w:cs="Arial"/>
                <w:i/>
                <w:sz w:val="20"/>
                <w:szCs w:val="20"/>
              </w:rPr>
              <w:t>To develop effective community engagement to promote safeguarding and awareness of issues such as CSE, Human Trafficking and Prevent</w:t>
            </w:r>
          </w:p>
          <w:p w:rsidR="003304FE" w:rsidRDefault="003304FE" w:rsidP="005719B5">
            <w:pPr>
              <w:pStyle w:val="ListParagraph"/>
              <w:ind w:left="792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Default="00244D42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>Review further implications with regard to vulnerable adult’s responsibilities.</w:t>
            </w: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Default="003304FE" w:rsidP="003304FE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Scope out strategic and operational meetings. Discussion and allocation of meetings.</w:t>
            </w: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633" w:rsidRPr="00591220" w:rsidRDefault="00E6663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Draft to progress through programme boards.</w:t>
            </w:r>
          </w:p>
          <w:p w:rsidR="00EA545B" w:rsidRPr="00591220" w:rsidRDefault="000A4AD6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New reporting programme up and running</w:t>
            </w: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2A2720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explore options for IT system</w:t>
            </w: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Dates set and </w:t>
            </w:r>
            <w:r w:rsidR="005076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available</w:t>
            </w: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6A2B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2A27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Identified staff to complete bespoke champion training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2A27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Pr="00591220" w:rsidRDefault="002A2720" w:rsidP="002A27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Attendance to workshop. Participate in draft templates.</w:t>
            </w:r>
          </w:p>
          <w:p w:rsidR="002A2720" w:rsidRPr="00591220" w:rsidRDefault="002A2720" w:rsidP="002A27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37469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37469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37469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507632" w:rsidP="0037469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Visible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 the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agenda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of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 City Board</w:t>
            </w:r>
          </w:p>
          <w:p w:rsidR="00723138" w:rsidRPr="00591220" w:rsidRDefault="00723138" w:rsidP="0037469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Put forward proposal to Communications Team as silver priority for the coming year</w:t>
            </w:r>
          </w:p>
          <w:p w:rsidR="004331EC" w:rsidRPr="00591220" w:rsidRDefault="004331EC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6F569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EA545B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essions with young people</w:t>
            </w: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Pr="00591220" w:rsidRDefault="00B1015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Draft information </w:t>
            </w: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Annual review of all hotels, Guesthouses, B&amp;B’s and Short Let accommodation.  </w:t>
            </w: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41D66" w:rsidRPr="00591220" w:rsidRDefault="00B41D66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carryout any agreed actions</w:t>
            </w:r>
            <w:r w:rsidRPr="00591220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B41D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Agreed role attendance to e</w:t>
            </w:r>
            <w:r w:rsidR="00D10665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ach meeting. Regular attendance.</w:t>
            </w: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Active new policy available on website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Pr="00591220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Quarterly report evidencing use of system, </w:t>
            </w:r>
          </w:p>
          <w:p w:rsidR="00261207" w:rsidRPr="00591220" w:rsidRDefault="00261207" w:rsidP="0026120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Guidance manual for staff on reporting online available on intranet</w:t>
            </w:r>
          </w:p>
          <w:p w:rsidR="001E603F" w:rsidRPr="00591220" w:rsidRDefault="00B1015D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Delivered training across City Council departments on using on line system</w:t>
            </w: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Active champions, providing one to one advice and guidance across Oxford City Council</w:t>
            </w: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1220" w:rsidRPr="00591220" w:rsidRDefault="00591220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Signed off template at OSCB training subgroup</w:t>
            </w:r>
          </w:p>
          <w:p w:rsidR="00591220" w:rsidRPr="00591220" w:rsidRDefault="00591220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B1E14" w:rsidRPr="00591220" w:rsidRDefault="00FB1E14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B1E14" w:rsidRPr="00591220" w:rsidRDefault="00FB1E14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B113E" w:rsidRPr="00591220" w:rsidRDefault="00AB113E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A03C9" w:rsidRPr="00591220" w:rsidRDefault="003A03C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1220" w:rsidRPr="00591220" w:rsidRDefault="00591220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Discussed and agreed at 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City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board</w:t>
            </w: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5912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Draft Communication Strategy for safeguarding and key messaging throughout the year</w:t>
            </w: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Printed information readily available at sessions</w:t>
            </w:r>
            <w:r w:rsidR="00CD4C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 the </w:t>
            </w:r>
            <w:r w:rsidR="00006E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internet</w:t>
            </w:r>
            <w:r w:rsidR="00CD4C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2C058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2C058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2C058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Develop an information sharing network to tackle the exploitation of vulnerable individuals with partners to reduce crime, identify gaps in safeguarding and identify relevant training or support ag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encies.  Hold annual conference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highlight issues 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identified by the membership.  </w:t>
            </w: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framework in place</w:t>
            </w:r>
          </w:p>
          <w:p w:rsidR="003304FE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91220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 </w:t>
            </w: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Emerging issues identified/communicated and managed.</w:t>
            </w:r>
          </w:p>
          <w:p w:rsidR="00AC0516" w:rsidRPr="00591220" w:rsidRDefault="00AC0516" w:rsidP="00AC0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0516" w:rsidRPr="00591220" w:rsidRDefault="00AC051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 clear policy being applied across departments standardised consistent approach.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8B1BEC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Ability to evidence referral journey. Staff knowledgeable and up to date with process and procedure. </w:t>
            </w: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identify under and over reporting in vulnerable groups and departments</w:t>
            </w: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F5372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Resilien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8B1BEC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structure. Stronger internal partnership </w:t>
            </w: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7231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8B1B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1220" w:rsidRPr="00D04FF5" w:rsidRDefault="00591220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4F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Templates being used by resident associations, community groups commissioned through Oxford City Council</w:t>
            </w:r>
          </w:p>
          <w:p w:rsidR="00591220" w:rsidRPr="00D04FF5" w:rsidRDefault="00591220" w:rsidP="0059122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E603F" w:rsidRPr="00591220" w:rsidRDefault="001E60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6DE6" w:rsidRPr="00591220" w:rsidRDefault="00836DE6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6DE6" w:rsidRPr="00591220" w:rsidRDefault="00836DE6" w:rsidP="00104F2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Organisational agreement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A03C9" w:rsidRPr="00591220" w:rsidRDefault="003C6304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Visible</w:t>
            </w:r>
            <w:r w:rsidR="003A03C9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current 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issues for</w:t>
            </w:r>
            <w:r w:rsidR="003A03C9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staff. 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Raised</w:t>
            </w:r>
            <w:r w:rsidR="003A03C9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awareness.</w:t>
            </w:r>
          </w:p>
          <w:p w:rsidR="006F569F" w:rsidRPr="00591220" w:rsidRDefault="003C6304" w:rsidP="006F56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</w:t>
            </w:r>
            <w:r w:rsidR="003A03C9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 clear structure 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</w:t>
            </w:r>
            <w:r w:rsidR="003A03C9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key messaging from serious case 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reviews </w:t>
            </w:r>
          </w:p>
          <w:p w:rsidR="006F569F" w:rsidRPr="00591220" w:rsidRDefault="006F569F" w:rsidP="006F56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6F56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Children and young people</w:t>
            </w:r>
            <w:r w:rsidR="00591220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using services and have a raised awareness of safeguarding issues. Gained understanding of where to go for help and how to access it</w:t>
            </w:r>
            <w:r w:rsidR="00EA545B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3304FE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recognise the signs of vulnerability and how to report it.  This would give owners/managers/staff and visitor to feel confident of their stay in the city.</w:t>
            </w: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Pr="00591220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4706" w:rsidRDefault="00594706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1220" w:rsidRDefault="00591220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91220" w:rsidRPr="00591220" w:rsidRDefault="00591220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Children, Parent &amp; Carers and the wider community are aware of the risks of CSE</w:t>
            </w: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947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VJ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61207" w:rsidRDefault="00261207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261207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LG/</w:t>
            </w: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GW</w:t>
            </w:r>
          </w:p>
          <w:p w:rsidR="00B1015D" w:rsidRPr="00591220" w:rsidRDefault="00B1015D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Pr="00591220" w:rsidRDefault="003304FE" w:rsidP="00B101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VJ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CD4C13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HL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Default="00CD4C13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HB</w:t>
            </w: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  <w:p w:rsidR="00723138" w:rsidRPr="00591220" w:rsidRDefault="00723138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3304FE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244D42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261207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2017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2018</w:t>
            </w: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Pr="00591220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15D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</w:t>
            </w:r>
            <w:r w:rsidR="002A2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July 2017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CD4C1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Sept 17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B101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?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3304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Pr="00591220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B1BEC" w:rsidRDefault="008B1B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04FE" w:rsidRPr="00591220" w:rsidRDefault="003304F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going</w:t>
            </w:r>
          </w:p>
        </w:tc>
      </w:tr>
      <w:tr w:rsidR="00591220" w:rsidRPr="00591220" w:rsidTr="003304FE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D0407" w:rsidRPr="00B94B84" w:rsidRDefault="00CD0407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2C2612" w:rsidRPr="00B94B84" w:rsidRDefault="002C2612" w:rsidP="002C2612">
            <w:pPr>
              <w:rPr>
                <w:rFonts w:ascii="Arial" w:hAnsi="Arial" w:cs="Arial"/>
                <w:b/>
                <w:color w:val="0070C0"/>
              </w:rPr>
            </w:pPr>
          </w:p>
          <w:p w:rsidR="00EA545B" w:rsidRPr="00B94B84" w:rsidRDefault="002C2612" w:rsidP="00D92859">
            <w:pPr>
              <w:rPr>
                <w:rFonts w:ascii="Arial" w:hAnsi="Arial" w:cs="Arial"/>
                <w:b/>
                <w:color w:val="0070C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Commissioning service delivery and effective practice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591220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Visible current issues to staff to raise awareness. Provide a clear structure for key messaging from serious case reviews.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Complete a safeguarding Audit of Youth Ambition services.</w:t>
            </w: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F569F" w:rsidRPr="00591220" w:rsidRDefault="006F569F" w:rsidP="006F569F">
            <w:pPr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</w:p>
          <w:p w:rsidR="00CD0407" w:rsidRPr="00591220" w:rsidRDefault="00CD0407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591220">
              <w:rPr>
                <w:rFonts w:ascii="Arial" w:eastAsiaTheme="minorHAnsi" w:hAnsi="Arial" w:cs="Arial"/>
                <w:b/>
                <w:u w:val="single"/>
              </w:rPr>
              <w:t>Procurement</w:t>
            </w:r>
          </w:p>
          <w:p w:rsidR="00672684" w:rsidRPr="00006E0B" w:rsidRDefault="00672684" w:rsidP="002C2612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006E0B">
              <w:rPr>
                <w:rFonts w:ascii="Arial" w:hAnsi="Arial" w:cs="Arial"/>
              </w:rPr>
              <w:t>Review of safeguarding standards in relation to contracting and contract monitoring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2A27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23138" w:rsidRPr="002A2720" w:rsidRDefault="00006E0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A2720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are required to and evidence suitable safeguarding policy and procedure before funding is committed.</w:t>
            </w:r>
          </w:p>
          <w:p w:rsidR="00723138" w:rsidRPr="002A27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723138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Agree and prioritise which external assessment tools are to be used within Oxford City Council centrally and department specific.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Ensure </w:t>
            </w:r>
            <w:proofErr w:type="gramStart"/>
            <w:r w:rsidRPr="00591220">
              <w:rPr>
                <w:rFonts w:ascii="Arial" w:eastAsiaTheme="minorHAnsi" w:hAnsi="Arial" w:cs="Arial"/>
                <w:sz w:val="20"/>
                <w:szCs w:val="20"/>
              </w:rPr>
              <w:t>staff attend</w:t>
            </w:r>
            <w:proofErr w:type="gramEnd"/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 the required training to enable them to effectively and confidentially use the tools within their roles.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19B5" w:rsidRDefault="005719B5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Develop a consistent process across oxford city council delivering learning across the City Council from Serious case reviews.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591220">
              <w:rPr>
                <w:rFonts w:ascii="Arial" w:eastAsiaTheme="minorHAnsi" w:hAnsi="Arial" w:cs="Arial"/>
                <w:b/>
                <w:u w:val="single"/>
              </w:rPr>
              <w:t>Training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Annual review of training needs and content 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‘Work Well’ and to develop further support where required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Continued data reports to service heads from HR. 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the OSCB and OSAB Training Groups/ workshops to develop training programmes that meet the needs of our staff.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Default="002C2612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Continue to deliver internal safeguarding awareness briefing throughout the year</w:t>
            </w: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3D24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Pr="00591220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Agreed programme of areas to cover</w:t>
            </w: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Included in written guidance and application process</w:t>
            </w: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91220" w:rsidRDefault="008F5372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</w:t>
            </w:r>
            <w:r w:rsid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officers</w:t>
            </w: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Meeting</w:t>
            </w:r>
            <w:r w:rsidR="005719B5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held to discuss tools </w:t>
            </w:r>
          </w:p>
          <w:p w:rsidR="005719B5" w:rsidRPr="00591220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Identify central tools, department tools, staff clear about responsibilities, confident to use. </w:t>
            </w: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relevant training, advertise dates</w:t>
            </w: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framework for delivering messages. Meaningful and relevant to services.</w:t>
            </w: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A6766" w:rsidRPr="00591220" w:rsidRDefault="00DA676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9940F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331EC" w:rsidRPr="00591220" w:rsidRDefault="004331E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2A29" w:rsidRPr="00591220" w:rsidRDefault="00312A2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07632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076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Collate training completion figures at year end. Review on-going training needs and refreshers continue to collate and evaluate feedback forms after sessions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752E1" w:rsidRPr="00591220" w:rsidRDefault="008752E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F" w:rsidRPr="00591220" w:rsidRDefault="006F569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 audit</w:t>
            </w: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Written report with recommendations for </w:t>
            </w:r>
            <w:r w:rsidR="007F0788"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consideration</w:t>
            </w: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058A" w:rsidRPr="00591220" w:rsidRDefault="002C058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Agreed tools to use.</w:t>
            </w:r>
          </w:p>
          <w:p w:rsidR="005719B5" w:rsidRPr="00591220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Available on keeping people safe page</w:t>
            </w:r>
          </w:p>
          <w:p w:rsidR="004F3D0F" w:rsidRPr="00591220" w:rsidRDefault="004F3D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91220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attending training</w:t>
            </w:r>
          </w:p>
          <w:p w:rsidR="005719B5" w:rsidRPr="00591220" w:rsidRDefault="005719B5" w:rsidP="005719B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Pr="00591220" w:rsidRDefault="009E51F0" w:rsidP="009E51F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</w:t>
            </w: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0F2" w:rsidRPr="00591220" w:rsidRDefault="009940F2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51F0" w:rsidRDefault="009E51F0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10DE" w:rsidRPr="00591220" w:rsidRDefault="007C10DE" w:rsidP="007C10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 a collective report to safeguarding raining sub group to continually improve our training by listening to staff feedback</w:t>
            </w:r>
          </w:p>
          <w:p w:rsidR="007C10DE" w:rsidRPr="00591220" w:rsidRDefault="007C10DE" w:rsidP="007C10DE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2C2612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4F3D0F" w:rsidRPr="00591220" w:rsidRDefault="004F3D0F" w:rsidP="005C690F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EA545B" w:rsidRPr="00591220" w:rsidRDefault="00EA545B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2" w:rsidRPr="00591220" w:rsidRDefault="002C2612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2C2612" w:rsidRPr="00591220" w:rsidRDefault="002C2612" w:rsidP="00D92859">
            <w:pPr>
              <w:rPr>
                <w:rFonts w:ascii="Arial" w:eastAsiaTheme="minorHAnsi" w:hAnsi="Arial" w:cs="Arial"/>
                <w:sz w:val="2"/>
                <w:szCs w:val="20"/>
                <w:lang w:eastAsia="en-US"/>
              </w:rPr>
            </w:pPr>
          </w:p>
          <w:p w:rsidR="00EA545B" w:rsidRDefault="00EA545B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2720" w:rsidRDefault="002A2720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91220" w:rsidRDefault="008F5372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</w:t>
            </w:r>
            <w:r w:rsid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staff questionnaire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evidence</w:t>
            </w:r>
            <w:r w:rsidR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increase in staff using forms.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723138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DG/HL</w:t>
            </w: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Pr="00591220" w:rsidRDefault="00672684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2684" w:rsidRDefault="005719B5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</w:t>
            </w:r>
            <w:r w:rsidR="00006E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/DP</w:t>
            </w:r>
          </w:p>
          <w:p w:rsidR="00006E0B" w:rsidRDefault="00006E0B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Pr="00591220" w:rsidRDefault="00006E0B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17</w:t>
            </w: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Pr="00591220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3138" w:rsidRDefault="0072313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17</w:t>
            </w: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19B5" w:rsidRPr="00591220" w:rsidDel="00FF384C" w:rsidRDefault="005719B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91220" w:rsidRPr="00591220" w:rsidTr="003304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Performance and resource management</w:t>
            </w:r>
          </w:p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A545B" w:rsidRPr="00B94B84" w:rsidRDefault="00EA545B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Ensure our volunteers are included in the opportunity to attend the safeguarding awareness briefing sessions.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Record attendance and completion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Centrally collate volunteer roles/information</w:t>
            </w: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Default="00006E0B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Categorise volunteer  type</w:t>
            </w:r>
          </w:p>
          <w:p w:rsidR="00006E0B" w:rsidRDefault="00006E0B" w:rsidP="00006E0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Need</w:t>
            </w:r>
            <w:r w:rsidRPr="00006E0B">
              <w:rPr>
                <w:rFonts w:ascii="Arial" w:eastAsiaTheme="minorHAnsi" w:hAnsi="Arial" w:cs="Arial"/>
                <w:sz w:val="20"/>
                <w:szCs w:val="20"/>
              </w:rPr>
              <w:t xml:space="preserve"> for safeguarding training.</w:t>
            </w:r>
          </w:p>
          <w:p w:rsidR="00006E0B" w:rsidRDefault="00006E0B" w:rsidP="00006E0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Vulnerability/risk support</w:t>
            </w:r>
          </w:p>
          <w:p w:rsidR="00006E0B" w:rsidRPr="00006E0B" w:rsidRDefault="00006E0B" w:rsidP="00006E0B">
            <w:pPr>
              <w:pStyle w:val="ListParagrap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06E0B" w:rsidRPr="00591220" w:rsidRDefault="00006E0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Information to be regularly provided to volunteers about safeguarding sessions available.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Expand key messaging and safeguarding updates and information to our community of volunteers.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Pr="00591220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508C" w:rsidRDefault="00DC50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508C" w:rsidRDefault="00DC50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508C" w:rsidRDefault="00DC50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508C" w:rsidRDefault="00DC50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</w:t>
            </w: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06E0B" w:rsidRPr="00591220" w:rsidRDefault="00006E0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ST/DG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91220" w:rsidRPr="00591220" w:rsidTr="003304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B94B84" w:rsidRDefault="00EA545B" w:rsidP="00765D85">
            <w:pPr>
              <w:spacing w:after="20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Outcomes and experiences of service users using statutory services.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Have clear actions in relation to young </w:t>
            </w:r>
            <w:proofErr w:type="gramStart"/>
            <w:r w:rsidRPr="00591220">
              <w:rPr>
                <w:rFonts w:ascii="Arial" w:eastAsiaTheme="minorHAnsi" w:hAnsi="Arial" w:cs="Arial"/>
                <w:sz w:val="20"/>
                <w:szCs w:val="20"/>
              </w:rPr>
              <w:t>carers</w:t>
            </w:r>
            <w:r w:rsidR="00CD0407" w:rsidRPr="00591220">
              <w:rPr>
                <w:rFonts w:ascii="Arial" w:eastAsiaTheme="minorHAnsi" w:hAnsi="Arial" w:cs="Arial"/>
                <w:sz w:val="20"/>
                <w:szCs w:val="20"/>
              </w:rPr>
              <w:t xml:space="preserve"> ?</w:t>
            </w:r>
            <w:proofErr w:type="gramEnd"/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</w:rPr>
              <w:t>Ensure that staff who require it engage in the Think family approach agenda</w:t>
            </w: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A545B" w:rsidRPr="00591220" w:rsidRDefault="00EA545B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A545B" w:rsidRPr="00591220" w:rsidRDefault="00EA545B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B" w:rsidRPr="00591220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D29BF" w:rsidRPr="00591220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:rsidR="007B3FB8" w:rsidRPr="00591220" w:rsidRDefault="007B3FB8" w:rsidP="00FD29BF">
      <w:pPr>
        <w:rPr>
          <w:rFonts w:cs="Arial"/>
          <w:b/>
          <w:sz w:val="20"/>
          <w:szCs w:val="20"/>
        </w:rPr>
      </w:pPr>
    </w:p>
    <w:p w:rsidR="007B3FB8" w:rsidRPr="00591220" w:rsidRDefault="007B3FB8" w:rsidP="00FD29BF">
      <w:pPr>
        <w:rPr>
          <w:rFonts w:cs="Arial"/>
          <w:b/>
          <w:sz w:val="20"/>
          <w:szCs w:val="20"/>
        </w:rPr>
      </w:pPr>
    </w:p>
    <w:p w:rsidR="00FD29BF" w:rsidRPr="00591220" w:rsidRDefault="00FD29BF" w:rsidP="00FD29BF">
      <w:pPr>
        <w:rPr>
          <w:rFonts w:cs="Arial"/>
          <w:b/>
          <w:bCs/>
          <w:sz w:val="20"/>
          <w:szCs w:val="20"/>
        </w:rPr>
      </w:pPr>
      <w:r w:rsidRPr="00591220">
        <w:rPr>
          <w:rFonts w:cs="Arial"/>
          <w:b/>
          <w:sz w:val="20"/>
          <w:szCs w:val="20"/>
        </w:rPr>
        <w:t>D</w:t>
      </w:r>
      <w:r w:rsidRPr="00591220">
        <w:rPr>
          <w:rFonts w:cs="Arial"/>
          <w:b/>
          <w:bCs/>
          <w:sz w:val="20"/>
          <w:szCs w:val="20"/>
        </w:rPr>
        <w:t>ocument Control</w:t>
      </w:r>
    </w:p>
    <w:p w:rsidR="00FD29BF" w:rsidRPr="009A0420" w:rsidRDefault="00FD29BF" w:rsidP="00FD29B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162"/>
        <w:gridCol w:w="6237"/>
      </w:tblGrid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Oxford City Council</w:t>
            </w:r>
          </w:p>
          <w:p w:rsidR="00FD29BF" w:rsidRPr="009A0420" w:rsidRDefault="00FD29BF" w:rsidP="007B3F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Safeguarding Action Plan 2</w:t>
            </w:r>
            <w:r w:rsidR="006011F6" w:rsidRPr="009A0420">
              <w:rPr>
                <w:rFonts w:ascii="Arial" w:hAnsi="Arial" w:cs="Arial"/>
                <w:sz w:val="22"/>
                <w:szCs w:val="22"/>
              </w:rPr>
              <w:t>017-18</w:t>
            </w:r>
            <w:r w:rsidRPr="009A04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Owner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Tim Sadler, Executive Director, Community Services</w:t>
            </w:r>
          </w:p>
        </w:tc>
      </w:tr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F6" w:rsidRPr="009A0420" w:rsidRDefault="006011F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D29BF" w:rsidRPr="009A0420" w:rsidRDefault="006011F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 xml:space="preserve">Daniella </w:t>
            </w:r>
            <w:proofErr w:type="spellStart"/>
            <w:r w:rsidRPr="009A0420">
              <w:rPr>
                <w:rFonts w:ascii="Arial" w:hAnsi="Arial" w:cs="Arial"/>
                <w:sz w:val="22"/>
                <w:szCs w:val="22"/>
              </w:rPr>
              <w:t>Granito</w:t>
            </w:r>
            <w:proofErr w:type="spellEnd"/>
          </w:p>
          <w:p w:rsidR="006011F6" w:rsidRPr="009A0420" w:rsidRDefault="006011F6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 xml:space="preserve">Safeguarding Co </w:t>
            </w:r>
            <w:proofErr w:type="spellStart"/>
            <w:r w:rsidRPr="009A0420"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</w:p>
          <w:p w:rsidR="00FD29BF" w:rsidRPr="009A0420" w:rsidRDefault="00FD29BF" w:rsidP="006011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91220" w:rsidRPr="009A0420" w:rsidTr="006011F6">
        <w:trPr>
          <w:trHeight w:val="305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>Date last reviewed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6011F6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April 2017</w:t>
            </w:r>
          </w:p>
        </w:tc>
      </w:tr>
      <w:tr w:rsidR="00FD29BF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Next Review Date Due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D29BF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Version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9A0420" w:rsidRDefault="0076548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FD29BF" w:rsidRPr="009A0420" w:rsidRDefault="00FD29BF" w:rsidP="00FD29BF">
      <w:pPr>
        <w:rPr>
          <w:rFonts w:ascii="Arial" w:eastAsia="Calibri" w:hAnsi="Arial"/>
          <w:sz w:val="22"/>
          <w:szCs w:val="22"/>
          <w:lang w:eastAsia="en-US"/>
        </w:rPr>
      </w:pPr>
    </w:p>
    <w:p w:rsidR="00FD29BF" w:rsidRPr="009A0420" w:rsidRDefault="00FD29BF" w:rsidP="00FD29BF">
      <w:pPr>
        <w:rPr>
          <w:sz w:val="22"/>
          <w:szCs w:val="22"/>
        </w:rPr>
      </w:pP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  <w:r w:rsidRPr="009A0420">
        <w:rPr>
          <w:rFonts w:ascii="Arial" w:hAnsi="Arial" w:cs="Arial"/>
          <w:b/>
          <w:sz w:val="22"/>
          <w:szCs w:val="22"/>
        </w:rPr>
        <w:t>Name:</w:t>
      </w:r>
      <w:r w:rsidRPr="009A0420">
        <w:rPr>
          <w:rFonts w:ascii="Arial" w:hAnsi="Arial" w:cs="Arial"/>
          <w:sz w:val="22"/>
          <w:szCs w:val="22"/>
        </w:rPr>
        <w:t xml:space="preserve"> ‘Oxford City Council Safeguarding Action Plan’</w:t>
      </w: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  <w:r w:rsidRPr="009A0420">
        <w:rPr>
          <w:rFonts w:ascii="Arial" w:hAnsi="Arial" w:cs="Arial"/>
          <w:b/>
          <w:sz w:val="22"/>
          <w:szCs w:val="22"/>
        </w:rPr>
        <w:t>File Location:</w:t>
      </w:r>
      <w:r w:rsidRPr="009A0420">
        <w:rPr>
          <w:rFonts w:ascii="Arial" w:hAnsi="Arial" w:cs="Arial"/>
          <w:sz w:val="22"/>
          <w:szCs w:val="22"/>
        </w:rPr>
        <w:t xml:space="preserve"> M:\Policy, Culture and </w:t>
      </w:r>
      <w:proofErr w:type="spellStart"/>
      <w:r w:rsidRPr="009A0420">
        <w:rPr>
          <w:rFonts w:ascii="Arial" w:hAnsi="Arial" w:cs="Arial"/>
          <w:sz w:val="22"/>
          <w:szCs w:val="22"/>
        </w:rPr>
        <w:t>Commmunications</w:t>
      </w:r>
      <w:proofErr w:type="spellEnd"/>
      <w:r w:rsidRPr="009A0420">
        <w:rPr>
          <w:rFonts w:ascii="Arial" w:hAnsi="Arial" w:cs="Arial"/>
          <w:sz w:val="22"/>
          <w:szCs w:val="22"/>
        </w:rPr>
        <w:t>\Policy\Safeguarding\Action</w:t>
      </w:r>
      <w:r w:rsidR="00141C3D" w:rsidRPr="009A0420">
        <w:rPr>
          <w:rFonts w:ascii="Arial" w:hAnsi="Arial" w:cs="Arial"/>
          <w:sz w:val="22"/>
          <w:szCs w:val="22"/>
        </w:rPr>
        <w:t xml:space="preserve"> plans\Safeguarding Action Plan 2016</w:t>
      </w:r>
      <w:r w:rsidRPr="009A0420">
        <w:rPr>
          <w:rFonts w:ascii="Arial" w:hAnsi="Arial" w:cs="Arial"/>
          <w:sz w:val="22"/>
          <w:szCs w:val="22"/>
        </w:rPr>
        <w:t>-1</w:t>
      </w:r>
      <w:r w:rsidR="00141C3D" w:rsidRPr="009A0420">
        <w:rPr>
          <w:rFonts w:ascii="Arial" w:hAnsi="Arial" w:cs="Arial"/>
          <w:sz w:val="22"/>
          <w:szCs w:val="22"/>
        </w:rPr>
        <w:t>7</w:t>
      </w:r>
      <w:r w:rsidRPr="009A0420">
        <w:rPr>
          <w:rFonts w:ascii="Arial" w:hAnsi="Arial" w:cs="Arial"/>
          <w:sz w:val="22"/>
          <w:szCs w:val="22"/>
        </w:rPr>
        <w:t xml:space="preserve"> - April 2015 vs 2.docx</w:t>
      </w:r>
    </w:p>
    <w:p w:rsidR="008A22C6" w:rsidRPr="008A22C6" w:rsidRDefault="008A22C6" w:rsidP="008A22C6"/>
    <w:sectPr w:rsidR="008A22C6" w:rsidRPr="008A22C6" w:rsidSect="00D92859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8D" w:rsidRDefault="00AB018D">
      <w:r>
        <w:separator/>
      </w:r>
    </w:p>
  </w:endnote>
  <w:endnote w:type="continuationSeparator" w:id="0">
    <w:p w:rsidR="00AB018D" w:rsidRDefault="00AB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53A49" w:rsidRPr="00472655" w:rsidRDefault="00953A49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9A0420">
          <w:rPr>
            <w:rFonts w:ascii="Arial" w:hAnsi="Arial" w:cs="Arial"/>
            <w:noProof/>
          </w:rPr>
          <w:t>1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953A49" w:rsidRDefault="0095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8D" w:rsidRDefault="00AB018D">
      <w:r>
        <w:separator/>
      </w:r>
    </w:p>
  </w:footnote>
  <w:footnote w:type="continuationSeparator" w:id="0">
    <w:p w:rsidR="00AB018D" w:rsidRDefault="00AB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E1"/>
    <w:multiLevelType w:val="hybridMultilevel"/>
    <w:tmpl w:val="26D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3AE0"/>
    <w:multiLevelType w:val="hybridMultilevel"/>
    <w:tmpl w:val="5F18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E31A2"/>
    <w:multiLevelType w:val="hybridMultilevel"/>
    <w:tmpl w:val="C14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4151"/>
    <w:multiLevelType w:val="hybridMultilevel"/>
    <w:tmpl w:val="8F8C6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32420"/>
    <w:multiLevelType w:val="hybridMultilevel"/>
    <w:tmpl w:val="3D3E049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873DA"/>
    <w:multiLevelType w:val="hybridMultilevel"/>
    <w:tmpl w:val="97FC09A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20"/>
  </w:num>
  <w:num w:numId="8">
    <w:abstractNumId w:val="14"/>
  </w:num>
  <w:num w:numId="9">
    <w:abstractNumId w:val="11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F"/>
    <w:rsid w:val="00006E0B"/>
    <w:rsid w:val="00015732"/>
    <w:rsid w:val="00062209"/>
    <w:rsid w:val="00071F5D"/>
    <w:rsid w:val="000A4AD6"/>
    <w:rsid w:val="000B4310"/>
    <w:rsid w:val="000B6DE2"/>
    <w:rsid w:val="000D397E"/>
    <w:rsid w:val="000E39E8"/>
    <w:rsid w:val="00104F28"/>
    <w:rsid w:val="00106DA6"/>
    <w:rsid w:val="00141C3D"/>
    <w:rsid w:val="00147D14"/>
    <w:rsid w:val="001A117D"/>
    <w:rsid w:val="001D242B"/>
    <w:rsid w:val="001E603F"/>
    <w:rsid w:val="0021560C"/>
    <w:rsid w:val="00231156"/>
    <w:rsid w:val="00244D42"/>
    <w:rsid w:val="00261207"/>
    <w:rsid w:val="0026329F"/>
    <w:rsid w:val="002A2720"/>
    <w:rsid w:val="002C058A"/>
    <w:rsid w:val="002C2612"/>
    <w:rsid w:val="002F233C"/>
    <w:rsid w:val="003057B4"/>
    <w:rsid w:val="00312A29"/>
    <w:rsid w:val="003233A4"/>
    <w:rsid w:val="003304FE"/>
    <w:rsid w:val="00374696"/>
    <w:rsid w:val="00392C98"/>
    <w:rsid w:val="00395957"/>
    <w:rsid w:val="003A03C9"/>
    <w:rsid w:val="003C6304"/>
    <w:rsid w:val="003D2438"/>
    <w:rsid w:val="004000D7"/>
    <w:rsid w:val="00405D1A"/>
    <w:rsid w:val="004331EC"/>
    <w:rsid w:val="00450073"/>
    <w:rsid w:val="00456B95"/>
    <w:rsid w:val="0048357C"/>
    <w:rsid w:val="00491AED"/>
    <w:rsid w:val="004B3A21"/>
    <w:rsid w:val="004F3D0F"/>
    <w:rsid w:val="00501D2A"/>
    <w:rsid w:val="00504E43"/>
    <w:rsid w:val="00507632"/>
    <w:rsid w:val="005719B5"/>
    <w:rsid w:val="00575023"/>
    <w:rsid w:val="00591220"/>
    <w:rsid w:val="00594706"/>
    <w:rsid w:val="00594FC1"/>
    <w:rsid w:val="005C690F"/>
    <w:rsid w:val="006011F6"/>
    <w:rsid w:val="00602FC5"/>
    <w:rsid w:val="006317E9"/>
    <w:rsid w:val="00632204"/>
    <w:rsid w:val="00640BF0"/>
    <w:rsid w:val="00645FBC"/>
    <w:rsid w:val="00672684"/>
    <w:rsid w:val="00682014"/>
    <w:rsid w:val="006A2B94"/>
    <w:rsid w:val="006B5114"/>
    <w:rsid w:val="006D0064"/>
    <w:rsid w:val="006F21FC"/>
    <w:rsid w:val="006F569F"/>
    <w:rsid w:val="00723138"/>
    <w:rsid w:val="00724ADA"/>
    <w:rsid w:val="00741A31"/>
    <w:rsid w:val="007555A5"/>
    <w:rsid w:val="0076548F"/>
    <w:rsid w:val="00765D85"/>
    <w:rsid w:val="00771CED"/>
    <w:rsid w:val="00772EA5"/>
    <w:rsid w:val="007908F4"/>
    <w:rsid w:val="007B3FB8"/>
    <w:rsid w:val="007C10DE"/>
    <w:rsid w:val="007F0788"/>
    <w:rsid w:val="00817327"/>
    <w:rsid w:val="00836DE6"/>
    <w:rsid w:val="008539A4"/>
    <w:rsid w:val="00872365"/>
    <w:rsid w:val="008752E1"/>
    <w:rsid w:val="008A22C6"/>
    <w:rsid w:val="008B1BEC"/>
    <w:rsid w:val="008B2270"/>
    <w:rsid w:val="008E36EB"/>
    <w:rsid w:val="008F5372"/>
    <w:rsid w:val="009008B1"/>
    <w:rsid w:val="00920F3F"/>
    <w:rsid w:val="009261C0"/>
    <w:rsid w:val="00936D30"/>
    <w:rsid w:val="00953A49"/>
    <w:rsid w:val="00984C9E"/>
    <w:rsid w:val="009940F2"/>
    <w:rsid w:val="00994FDF"/>
    <w:rsid w:val="009A0420"/>
    <w:rsid w:val="009A101C"/>
    <w:rsid w:val="009E51F0"/>
    <w:rsid w:val="009F0BDA"/>
    <w:rsid w:val="00A3376A"/>
    <w:rsid w:val="00A66456"/>
    <w:rsid w:val="00A67A52"/>
    <w:rsid w:val="00A72A00"/>
    <w:rsid w:val="00A84BED"/>
    <w:rsid w:val="00AA0E4F"/>
    <w:rsid w:val="00AB018D"/>
    <w:rsid w:val="00AB113E"/>
    <w:rsid w:val="00AC0516"/>
    <w:rsid w:val="00AD0BD2"/>
    <w:rsid w:val="00AE58B1"/>
    <w:rsid w:val="00AE6872"/>
    <w:rsid w:val="00AE7FED"/>
    <w:rsid w:val="00B1015D"/>
    <w:rsid w:val="00B41D66"/>
    <w:rsid w:val="00B44851"/>
    <w:rsid w:val="00B51B23"/>
    <w:rsid w:val="00B56896"/>
    <w:rsid w:val="00B61336"/>
    <w:rsid w:val="00B700F5"/>
    <w:rsid w:val="00B716B2"/>
    <w:rsid w:val="00B94B84"/>
    <w:rsid w:val="00BB0E06"/>
    <w:rsid w:val="00BC2F4C"/>
    <w:rsid w:val="00C07F80"/>
    <w:rsid w:val="00C31A6B"/>
    <w:rsid w:val="00C347D1"/>
    <w:rsid w:val="00C34F6A"/>
    <w:rsid w:val="00C4611F"/>
    <w:rsid w:val="00C70F0F"/>
    <w:rsid w:val="00C744D8"/>
    <w:rsid w:val="00C776B8"/>
    <w:rsid w:val="00C80082"/>
    <w:rsid w:val="00CB5C54"/>
    <w:rsid w:val="00CD0407"/>
    <w:rsid w:val="00CD4C13"/>
    <w:rsid w:val="00CE420F"/>
    <w:rsid w:val="00D002D4"/>
    <w:rsid w:val="00D10665"/>
    <w:rsid w:val="00D10847"/>
    <w:rsid w:val="00D149CA"/>
    <w:rsid w:val="00D15629"/>
    <w:rsid w:val="00D15E27"/>
    <w:rsid w:val="00D45CE3"/>
    <w:rsid w:val="00D4621B"/>
    <w:rsid w:val="00D65512"/>
    <w:rsid w:val="00D92859"/>
    <w:rsid w:val="00D9767E"/>
    <w:rsid w:val="00DA6766"/>
    <w:rsid w:val="00DA6E39"/>
    <w:rsid w:val="00DB403C"/>
    <w:rsid w:val="00DC508C"/>
    <w:rsid w:val="00DC6711"/>
    <w:rsid w:val="00E1713F"/>
    <w:rsid w:val="00E357E8"/>
    <w:rsid w:val="00E454EC"/>
    <w:rsid w:val="00E66633"/>
    <w:rsid w:val="00E86188"/>
    <w:rsid w:val="00E865BA"/>
    <w:rsid w:val="00EA545B"/>
    <w:rsid w:val="00EE4AD2"/>
    <w:rsid w:val="00EF1AC6"/>
    <w:rsid w:val="00EF272C"/>
    <w:rsid w:val="00F26AD4"/>
    <w:rsid w:val="00F61812"/>
    <w:rsid w:val="00F70B64"/>
    <w:rsid w:val="00F936E6"/>
    <w:rsid w:val="00FB1E14"/>
    <w:rsid w:val="00FD29BF"/>
    <w:rsid w:val="00FD3A85"/>
    <w:rsid w:val="00FE16B5"/>
    <w:rsid w:val="00FE40C9"/>
    <w:rsid w:val="00FF0102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358F-1266-4F89-B95F-D1A9187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6814D45A</Template>
  <TotalTime>2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sclaridge</cp:lastModifiedBy>
  <cp:revision>3</cp:revision>
  <cp:lastPrinted>2017-04-26T14:43:00Z</cp:lastPrinted>
  <dcterms:created xsi:type="dcterms:W3CDTF">2017-05-10T11:26:00Z</dcterms:created>
  <dcterms:modified xsi:type="dcterms:W3CDTF">2017-05-11T15:14:00Z</dcterms:modified>
</cp:coreProperties>
</file>

<file path=docProps/custom.xml><?xml version="1.0" encoding="utf-8"?>
<op:Properties xmlns:op="http://schemas.openxmlformats.org/officeDocument/2006/custom-properties"/>
</file>